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12D2F2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ENG1</w:t>
      </w:r>
      <w:r w:rsidR="005D0EF7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DE0A91">
        <w:rPr>
          <w:rFonts w:ascii="Calibri" w:hAnsi="Calibri"/>
        </w:rPr>
        <w:t>3.1.7.1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1E46C2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E66788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66788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7FFD58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E0A91">
        <w:rPr>
          <w:rFonts w:ascii="Calibri" w:hAnsi="Calibri"/>
        </w:rPr>
        <w:t>3.1</w:t>
      </w:r>
    </w:p>
    <w:p w14:paraId="1AB3E246" w14:textId="46D52690" w:rsidR="00A446C9" w:rsidRPr="007A395D" w:rsidRDefault="0080294B" w:rsidP="00210E42">
      <w:pPr>
        <w:pStyle w:val="BodyText"/>
        <w:tabs>
          <w:tab w:val="left" w:pos="2835"/>
        </w:tabs>
        <w:ind w:left="3600" w:hanging="3600"/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365DA">
        <w:rPr>
          <w:rFonts w:ascii="Calibri" w:hAnsi="Calibri"/>
        </w:rPr>
        <w:t xml:space="preserve">WG2 </w:t>
      </w:r>
      <w:r w:rsidR="008E09A9" w:rsidRPr="008E09A9">
        <w:rPr>
          <w:rFonts w:ascii="Calibri" w:hAnsi="Calibri"/>
        </w:rPr>
        <w:t>Knowledge &amp; Sustainability</w:t>
      </w:r>
      <w:r w:rsidR="008E09A9" w:rsidRPr="00C9622D">
        <w:rPr>
          <w:rFonts w:ascii="Calibri" w:hAnsi="Calibri"/>
        </w:rPr>
        <w:t xml:space="preserve"> </w:t>
      </w:r>
      <w:r w:rsidR="008E09A9">
        <w:rPr>
          <w:rFonts w:ascii="Calibri" w:hAnsi="Calibri"/>
        </w:rPr>
        <w:t xml:space="preserve">/ </w:t>
      </w:r>
      <w:r w:rsidR="00C9622D" w:rsidRPr="00C9622D">
        <w:rPr>
          <w:rFonts w:ascii="Calibri" w:hAnsi="Calibri"/>
        </w:rPr>
        <w:t xml:space="preserve">Task </w:t>
      </w:r>
      <w:r w:rsidR="00C9622D" w:rsidRPr="00D64AC4">
        <w:rPr>
          <w:rFonts w:ascii="Calibri" w:hAnsi="Calibri"/>
          <w:color w:val="000000" w:themeColor="text1"/>
        </w:rPr>
        <w:t>2.</w:t>
      </w:r>
      <w:r w:rsidR="00D64AC4" w:rsidRPr="00D64AC4">
        <w:rPr>
          <w:rFonts w:ascii="Calibri" w:hAnsi="Calibri"/>
          <w:color w:val="000000" w:themeColor="text1"/>
        </w:rPr>
        <w:t>5</w:t>
      </w:r>
      <w:r w:rsidR="00C9622D" w:rsidRPr="00D64AC4">
        <w:rPr>
          <w:rFonts w:ascii="Calibri" w:hAnsi="Calibri"/>
          <w:color w:val="000000" w:themeColor="text1"/>
        </w:rPr>
        <w:t>.</w:t>
      </w:r>
      <w:r w:rsidR="00D64AC4" w:rsidRPr="00D64AC4">
        <w:rPr>
          <w:rFonts w:ascii="Calibri" w:hAnsi="Calibri"/>
          <w:color w:val="000000" w:themeColor="text1"/>
        </w:rPr>
        <w:t>2</w:t>
      </w:r>
      <w:r w:rsidR="00210E42" w:rsidRPr="00D64AC4">
        <w:rPr>
          <w:rFonts w:ascii="Calibri" w:hAnsi="Calibri"/>
          <w:color w:val="000000" w:themeColor="text1"/>
        </w:rPr>
        <w:t xml:space="preserve"> </w:t>
      </w:r>
      <w:r w:rsidR="00210E42">
        <w:rPr>
          <w:rFonts w:ascii="Calibri" w:hAnsi="Calibri"/>
        </w:rPr>
        <w:t xml:space="preserve">– </w:t>
      </w:r>
      <w:proofErr w:type="spellStart"/>
      <w:r w:rsidR="005D0EF7" w:rsidRPr="005D0EF7">
        <w:rPr>
          <w:rFonts w:ascii="Calibri" w:hAnsi="Calibri"/>
        </w:rPr>
        <w:t>draft_guideline_on_radar_reflectors</w:t>
      </w:r>
      <w:proofErr w:type="spellEnd"/>
    </w:p>
    <w:p w14:paraId="01FC5420" w14:textId="351B7CA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A428B">
        <w:rPr>
          <w:rFonts w:ascii="Calibri" w:hAnsi="Calibri"/>
        </w:rPr>
        <w:t xml:space="preserve">Peter </w:t>
      </w:r>
      <w:r w:rsidR="005D0EF7">
        <w:rPr>
          <w:rFonts w:ascii="Calibri" w:hAnsi="Calibri"/>
        </w:rPr>
        <w:t>Schneider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bookmarkStart w:id="0" w:name="_GoBack"/>
      <w:bookmarkEnd w:id="0"/>
    </w:p>
    <w:p w14:paraId="4834080C" w14:textId="2124505C" w:rsidR="00A446C9" w:rsidRPr="00605E43" w:rsidRDefault="005D0EF7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Radar reflectors </w:t>
      </w:r>
      <w:r w:rsidR="00CD327F" w:rsidRPr="00CD327F">
        <w:rPr>
          <w:rFonts w:ascii="Calibri" w:hAnsi="Calibri"/>
          <w:color w:val="0070C0"/>
        </w:rPr>
        <w:t>Guideline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661ABCB" w14:textId="5DD9AE51" w:rsidR="00210E42" w:rsidRDefault="00814AFC" w:rsidP="00B56BDF">
      <w:pPr>
        <w:pStyle w:val="BodyText"/>
        <w:rPr>
          <w:rFonts w:ascii="Calibri" w:hAnsi="Calibri"/>
        </w:rPr>
      </w:pPr>
      <w:r w:rsidRPr="00814AFC">
        <w:rPr>
          <w:rFonts w:ascii="Calibri" w:hAnsi="Calibri"/>
        </w:rPr>
        <w:t xml:space="preserve">The last revision of the </w:t>
      </w:r>
      <w:r>
        <w:rPr>
          <w:rFonts w:ascii="Calibri" w:hAnsi="Calibri"/>
        </w:rPr>
        <w:t xml:space="preserve">draft </w:t>
      </w:r>
      <w:r w:rsidRPr="00814AFC">
        <w:rPr>
          <w:rFonts w:ascii="Calibri" w:hAnsi="Calibri"/>
        </w:rPr>
        <w:t xml:space="preserve">guideline on radar reflectors was carried out </w:t>
      </w:r>
      <w:r>
        <w:rPr>
          <w:rFonts w:ascii="Calibri" w:hAnsi="Calibri"/>
        </w:rPr>
        <w:t>at</w:t>
      </w:r>
      <w:r w:rsidRPr="00814AFC">
        <w:rPr>
          <w:rFonts w:ascii="Calibri" w:hAnsi="Calibri"/>
        </w:rPr>
        <w:t xml:space="preserve"> ENG9. No further processing took place during ENG10</w:t>
      </w:r>
      <w:r>
        <w:rPr>
          <w:rFonts w:ascii="Calibri" w:hAnsi="Calibri"/>
        </w:rPr>
        <w:t xml:space="preserve"> because of </w:t>
      </w:r>
      <w:r w:rsidRPr="00814AFC">
        <w:rPr>
          <w:rFonts w:ascii="Calibri" w:hAnsi="Calibri"/>
        </w:rPr>
        <w:t xml:space="preserve">insufficient expert knowledge on site. During the virtual ENG12 </w:t>
      </w:r>
      <w:r>
        <w:rPr>
          <w:rFonts w:ascii="Calibri" w:hAnsi="Calibri"/>
        </w:rPr>
        <w:t xml:space="preserve">we </w:t>
      </w:r>
      <w:r w:rsidRPr="00814AFC">
        <w:rPr>
          <w:rFonts w:ascii="Calibri" w:hAnsi="Calibri"/>
        </w:rPr>
        <w:t xml:space="preserve"> should try to keep working on it. See the attached document as an input </w:t>
      </w:r>
      <w:r>
        <w:rPr>
          <w:rFonts w:ascii="Calibri" w:hAnsi="Calibri"/>
        </w:rPr>
        <w:t>paper</w:t>
      </w:r>
      <w:r w:rsidRPr="00814AFC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06E9F61" w14:textId="37ABAFF2" w:rsidR="00172C37" w:rsidRDefault="00172C3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Forward the draft guideline to working group 2 for further development through ENG12.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6E43FA48" w:rsidR="00E55927" w:rsidRPr="007A395D" w:rsidRDefault="00172C3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Attached draft guideline.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2D75126C" w:rsidR="00A446C9" w:rsidRPr="007A395D" w:rsidRDefault="00137D3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draft guideline on </w:t>
      </w:r>
      <w:r w:rsidR="00814AFC">
        <w:rPr>
          <w:rFonts w:ascii="Calibri" w:hAnsi="Calibri"/>
        </w:rPr>
        <w:t xml:space="preserve">radar reflectors </w:t>
      </w:r>
      <w:r>
        <w:rPr>
          <w:rFonts w:ascii="Calibri" w:hAnsi="Calibri"/>
        </w:rPr>
        <w:t>was initially started at ENG</w:t>
      </w:r>
      <w:r w:rsidR="00814AFC">
        <w:rPr>
          <w:rFonts w:ascii="Calibri" w:hAnsi="Calibri"/>
        </w:rPr>
        <w:t>9</w:t>
      </w:r>
      <w:r>
        <w:rPr>
          <w:rFonts w:ascii="Calibri" w:hAnsi="Calibri"/>
        </w:rPr>
        <w:t xml:space="preserve"> as a working document.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19E6F132" w:rsidR="00F25BF4" w:rsidRPr="007A395D" w:rsidRDefault="00172C37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Forward the attached draft guideline to working group 2 for further development during ENG12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4D11A" w14:textId="77777777" w:rsidR="00F35973" w:rsidRDefault="00F35973" w:rsidP="00362CD9">
      <w:r>
        <w:separator/>
      </w:r>
    </w:p>
  </w:endnote>
  <w:endnote w:type="continuationSeparator" w:id="0">
    <w:p w14:paraId="0C5E50D1" w14:textId="77777777" w:rsidR="00F35973" w:rsidRDefault="00F3597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7D2F70BE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5D0EF7">
      <w:rPr>
        <w:rFonts w:ascii="Calibri" w:hAnsi="Calibri"/>
        <w:noProof/>
      </w:rPr>
      <w:t>3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7D251" w14:textId="77777777" w:rsidR="00F35973" w:rsidRDefault="00F35973" w:rsidP="00362CD9">
      <w:r>
        <w:separator/>
      </w:r>
    </w:p>
  </w:footnote>
  <w:footnote w:type="continuationSeparator" w:id="0">
    <w:p w14:paraId="1240CB7F" w14:textId="77777777" w:rsidR="00F35973" w:rsidRDefault="00F35973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DE0A9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1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0A9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0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DE0A9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37D31"/>
    <w:rsid w:val="00172C3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046DF"/>
    <w:rsid w:val="00210E4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65DA"/>
    <w:rsid w:val="00356CD0"/>
    <w:rsid w:val="00362CD9"/>
    <w:rsid w:val="003761CA"/>
    <w:rsid w:val="00380DAF"/>
    <w:rsid w:val="003952A3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3548F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0EF7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1441"/>
    <w:rsid w:val="00783FEA"/>
    <w:rsid w:val="007A395D"/>
    <w:rsid w:val="007B6BD5"/>
    <w:rsid w:val="007C346C"/>
    <w:rsid w:val="007E6479"/>
    <w:rsid w:val="0080294B"/>
    <w:rsid w:val="00814AFC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6C1F"/>
    <w:rsid w:val="008D79CB"/>
    <w:rsid w:val="008E09A9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766DC"/>
    <w:rsid w:val="00B85CD6"/>
    <w:rsid w:val="00B90A27"/>
    <w:rsid w:val="00B9554D"/>
    <w:rsid w:val="00BA15C1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9622D"/>
    <w:rsid w:val="00CA6F2C"/>
    <w:rsid w:val="00CD327F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64AC4"/>
    <w:rsid w:val="00D81801"/>
    <w:rsid w:val="00D92B45"/>
    <w:rsid w:val="00D95962"/>
    <w:rsid w:val="00DC389B"/>
    <w:rsid w:val="00DE0A91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66788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35973"/>
    <w:rsid w:val="00F46F6F"/>
    <w:rsid w:val="00F60608"/>
    <w:rsid w:val="00F61A49"/>
    <w:rsid w:val="00F62217"/>
    <w:rsid w:val="00FA428B"/>
    <w:rsid w:val="00FB17A9"/>
    <w:rsid w:val="00FB2D9A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4E5E4345-A534-4F75-A5C1-FB1705F65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1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55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16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90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4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089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73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669FF-2646-4B9F-A584-C5162C1B71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3BAE0-ACE8-4EA9-8F19-0AAC155E9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2B8C2-A080-4BA1-907F-4834F5E24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1F80FB-BE68-42E8-9407-15CD1515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</Words>
  <Characters>1064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Wasser- und Schifffahrtsamt Emden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</cp:revision>
  <dcterms:created xsi:type="dcterms:W3CDTF">2020-09-02T06:15:00Z</dcterms:created>
  <dcterms:modified xsi:type="dcterms:W3CDTF">2020-09-15T07:01:00Z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